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390</w:t>
      </w:r>
    </w:p>
    <w:p>
      <w:r>
        <w:t>Bundesgericht (BGE), 2001-04-17, FR</w:t>
      </w:r>
    </w:p>
    <w:p>
      <w:r>
        <w:rPr>
          <w:b/>
        </w:rPr>
        <w:t xml:space="preserve">Quelle: </w:t>
      </w:r>
      <w:r>
        <w:t>https://mcp.opencaselaw.ch/entscheid/bge_127 III 390</w:t>
      </w:r>
    </w:p>
    <w:p>
      <w:r>
        <w:t>FR: ATF 127 III 390</w:t>
      </w:r>
    </w:p>
    <w:p>
      <w:r>
        <w:t>IT: DTF 127 III 390</w:t>
      </w:r>
    </w:p>
    <w:p>
      <w:pPr>
        <w:pStyle w:val="Heading2"/>
      </w:pPr>
      <w:r>
        <w:t>Regeste</w:t>
      </w:r>
    </w:p>
    <w:p>
      <w:r>
        <w:t>Regeste Zulässigkeit der Nichtigkeitsbeschwerde (Art. 68 Abs. 1 lit. b OG). Der Nichtigkeitsgrund gemäss Art. 68 Abs. 1 lit. b OG erfasst weder die unrichtige Anwendung andwendbaren Bundesrechts noch diejenige anwendbaren ausländischen Rechts (E. 1). Vertrag zugunsten Dritter (Art. 112 OR). Ein von Todes wegen errichteter Vertrag zugunsten Dritter erfordert die Form einer letztwilligen Verfügung gemäss Art. 498 ff. ZGB (E. 2).</w:t>
      </w:r>
    </w:p>
    <w:p>
      <w:pPr>
        <w:pStyle w:val="Heading2"/>
      </w:pPr>
      <w:r>
        <w:t>Erwägungen</w:t>
      </w:r>
    </w:p>
    <w:p>
      <w:r>
        <w:rPr>
          <w:b/>
        </w:rPr>
        <w:t>E. 1</w:t>
      </w:r>
    </w:p>
    <w:p>
      <w:r>
        <w:t>a) Le recours en nullité n'est recevable que si le recours en réforme n'est pas ouvert ( art. 68 al. 1 OJ ). La voie de la réforme n'est pas ouverte contre une décision sur mesures provisionnelles, parce qu'elle ne statue pas sur la prétention matérielle, mais seulement sur une protection provisoire ( ATF 115 II 297 consid. 2). Il n'y a pas lieu d'examiner - comme cela a été soulevé - s'il faudrait faire une exception pour la partie de la requête qui tend à l'obtention de renseignements, parce que le recours doit de toute manière (cf. ci-dessous) être rejeté. b) Interjeté par la partie qui a succombé dans ses conclusions tendant à une protection provisoire et dirigé contre un jugement rendu en dernière instance cantonale sur une contestation civile qui, en principe, ne peut pas faire l'objet d'un recours en réforme, le recours en nullité est ouvert. c) Il ne peut être formé que pour l'un des motifs énumérés à l' art. 68 al. 1 OJ . En l'espèce, la recourante soutient que le droit étranger a été appliqué à la place du droit fédéral déterminant ( art. 68 al. 1 let. b OJ ). BGE 127 III 390 S. 393 Ce grief ne permet pas de faire valoir que le juge aurait mal appliqué le droit suisse lorsque celui-ci est applicable ou qu'il aurait mal appliqué le droit étranger lorsque celui-ci est applicable (POUDRET, Commentaire de l'OJ, vol. II, n. 4 ad art. 68 OJ , p. 643). d) Déposé en temps utile ( art. 69 al. 1 et art. 34 al. 1 let . c OJ), dans la forme prévue par la loi ( art. 71 OJ ), le recours en nullité est recevable. e) Hormis l'hypothèse de l' art. 68 al. 1 let . e OJ (qui n'entre pas en considération ici), le recours ne peut tendre qu'au renvoi de l'affaire à la juridiction cantonale pour qu'elle statue à nouveau ( art. 73 al. 2 OJ ). f) Par le renvoi de l' art. 74 OJ , l' art. 63 OJ est applicable par analogie (POUDRET, op. cit., n. 2 ad art. 74 OJ ). En conséquence,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ATF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w:t>
      </w:r>
    </w:p>
    <w:p>
      <w:r>
        <w:rPr>
          <w:b/>
        </w:rPr>
        <w:t>E. 2</w:t>
      </w:r>
    </w:p>
    <w:p>
      <w:r>
        <w:t>a) Saisi d'une demande, le juge suisse doit procéder à une qualification juridique des faits selon la lex fori ( ATF 127 III 123 consid. 2c). En l'espèce, la cour cantonale, analysant le contrat signé le 29 juin 1955, est parvenue à la conclusion qu'il s'agissait d'une stipulation pour autrui à cause de mort. Cette qualification relève entièrement du droit fédéral, dont l'application ne peut donner lieu à un recours en nullité. b) La cour cantonale a estimé que la forme de cet acte juridique était régie par le droit italien. La recourante le conteste. Elle produit un avis de droit qui conclut à l'application de l' art. 93 al. 2 LDIP (RS 291), selon lequel la Convention de La Haye du 5 octobre 1961 sur les conflits de lois en matière de forme des dispositions testamentaires (RS 0.211.312.1) BGE 127 III 390 S. 394 s'applique par analogie à la forme d'autres dispositions pour cause de mort. Cette opinion ne peut pas être suivie. En effet, la LDIP est entrée en vigueur le 1er janvier 1989. Or, dans l'interprétation de la disposition transitoire de l' art. 196 LDIP , le Tribunal fédéral a déjà jugé que cette loi ne régissait pas la forme d'un acte juridique passé avant son entrée en vigueur ( ATF 118 II 514 consid. 3a). Comme l'acte d'espèce a été signé le 29 juin 1955, l' art. 93 al. 2 LDIP n'est pas applicable. c) Il reste que la Convention de La Haye déjà citée est entrée en vigueur pour la Suisse le 17 octobre 1971. A son art. 8, elle prévoit son application à tous les cas où le testateur est décédé après l'entrée en vigueur de la Convention. Comme C. est décédé le 6 janvier 1972, la Convention de La Haye est en principe applicable. Il est cependant douteux que la stipulation en cause puisse être qualifiée de disposition testamentaire au sens de la Convention de La Haye. Si l'on répond négativement à cette question, le juge aurait dû probablement, en raison des biens en Suisse, s'inspirer de l'art. 24 de l'ancienne loi fédérale sur les rapports de droit civil des citoyens établis ou en séjour (LRDC; cf. ATF 118 II 514 consid. 3c; ATF 96 II 79 consid. 9a p. 98), qui concerne de façon générale les dispositions de dernière volonté, les pactes successoraux et les donations à cause de mort. Que l'on applique l'art. 1er de la Convention de La Haye ou l' art. 24 LRDC , le problème n'en est pas modifié dans le cas d'espèce. d) Le droit international privé suisse prévoit que plusieurs lois sont applicables à la question de la forme des attributions pour cause de mort; il suffit que l'acte soit valable à la forme selon l'une des lois énumérées pour que le juge suisse doive en reconnaître la validité. S'agissant d'un ressortissant italien qui était domicilié en Italie au moment de l'acte et qui a eu son dernier domicile en Italie, il est évident que le juge suisse devait prendre en considération le droit italien, que l'on applique l'art. 1er de la Convention de La Haye ou l' art. 24 LRDC . C'est donc à juste titre que la cour cantonale a examiné le droit italien, parce qu'elle aurait dû tenir l'acte pour valable à la forme s'il avait été valable en droit italien. Le droit italien était donc bien applicable en vertu du droit international privé suisse et il n'est pas exact de dire qu'il a été appliqué en lieu et place du droit suisse. BGE 127 III 390 S. 395 Savoir si le droit italien a été bien ou mal appliqué est une question qui ne peut donner lieu à un recours en nullité (POUDRET, op. cit., n. 4 ad art. 68 OJ ). e) Il reste que l'autorité cantonale, qu'elle applique l'art. 1er de la Convention de La Haye ou l' art. 24 LRDC , aurait également dû se demander si l'acte était valable à la forme selon le droit interne suisse, en tant que loi du lieu où l'acte a été passé. En effet, si l'acte était valable à la forme selon le droit interne suisse, sa validité aurait dû être admise. Il est possible que la cour cantonale n'ait pas examiné la question, parce que la réponse lui paraissait par trop évidente. A supposer qu'elle ait perdu la question de vue, il s'agirait d'une violation du droit international privé suisse, conduisant à ne pas appliquer le droit suisse dans un cas où il devait être appliqué. Il ne s'agit cependant pas d'une application du droit étranger à la place du droit suisse. On se trouve en présence d'une pure violation du droit fédéral, laquelle ne peut donner lieu à un recours en nullité (POUDRET, op. cit., n. 4 ad art. 68 OJ ). f) De toute manière, l'examen de la validité formelle de l'acte selon le droit interne suisse n'aurait pas modifié l'issue du litige. Une stipulation pour autrui mortis causa exige la forme requise pour une donation à cause de mort (RAINER GONZENBACH, Commentaire bâlois, 2e éd., n. 8 ad art. 112 CO ; GAUCH/SCHLUEP/SCHMID/REY, Schweizerisches Obligationenrecht, Allgemeiner Teil, 7e éd., no 4035; ENGEL, Traité des obligations en droit suisse, 2e éd., p. 421). Selon l' art. 245 al. 2 CO , les donations dont l'exécution est fixée au décès du donateur sont soumises aux règles concernant les dispositions pour cause de mort. On ne voit pas comment un acte, partiellement préimprimé et partiellement dactylographié, pourrait répondre aux exigences de forme des art. 498 ss CC . L'acte est donc également nul à la forme selon le droit interne suisse. La prise en considération de ce droit par la cour cantonale n'aurait donc eu aucune incidence sur la querelle. g) Contrairement à ce que soutient la recourante, la nullité formelle d'une disposition pour cause de mort peut être invoquée en tout temps par voie d'exception ( art. 521 al. 3 CC ; ATF 89 II 87 consid. 6 p.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